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4294" w14:textId="7043DDD0" w:rsidR="00464736" w:rsidRPr="00464736" w:rsidRDefault="00D854C8" w:rsidP="009E1ABC">
      <w:pPr>
        <w:jc w:val="center"/>
        <w:rPr>
          <w:rFonts w:ascii="Tahoma" w:eastAsia="Calibri" w:hAnsi="Tahoma" w:cs="Tahoma"/>
          <w:b/>
          <w:lang w:val="es-ES" w:eastAsia="en-US"/>
        </w:rPr>
      </w:pPr>
      <w:r w:rsidRPr="001E3DF6">
        <w:rPr>
          <w:rFonts w:ascii="Tahoma" w:hAnsi="Tahoma" w:cs="Tahoma"/>
          <w:b/>
        </w:rPr>
        <w:t>CONVOCATORIA OPD/CMD/SC/</w:t>
      </w:r>
      <w:bookmarkStart w:id="0" w:name="_Hlk191642343"/>
      <w:r w:rsidR="005C349A" w:rsidRPr="001E3DF6">
        <w:rPr>
          <w:rFonts w:ascii="Tahoma" w:hAnsi="Tahoma" w:cs="Tahoma"/>
          <w:b/>
        </w:rPr>
        <w:t>0</w:t>
      </w:r>
      <w:r w:rsidR="0058426F">
        <w:rPr>
          <w:rFonts w:ascii="Tahoma" w:hAnsi="Tahoma" w:cs="Tahoma"/>
          <w:b/>
        </w:rPr>
        <w:t>2</w:t>
      </w:r>
      <w:r w:rsidR="00564C2C">
        <w:rPr>
          <w:rFonts w:ascii="Tahoma" w:hAnsi="Tahoma" w:cs="Tahoma"/>
          <w:b/>
        </w:rPr>
        <w:t>2</w:t>
      </w:r>
      <w:r w:rsidRPr="001E3DF6">
        <w:rPr>
          <w:rFonts w:ascii="Tahoma" w:hAnsi="Tahoma" w:cs="Tahoma"/>
          <w:b/>
        </w:rPr>
        <w:t>/202</w:t>
      </w:r>
      <w:r w:rsidR="00526FAD">
        <w:rPr>
          <w:rFonts w:ascii="Tahoma" w:hAnsi="Tahoma" w:cs="Tahoma"/>
          <w:b/>
        </w:rPr>
        <w:t>6</w:t>
      </w:r>
      <w:r w:rsidRPr="001E3DF6">
        <w:rPr>
          <w:rFonts w:ascii="Tahoma" w:hAnsi="Tahoma" w:cs="Tahoma"/>
          <w:b/>
        </w:rPr>
        <w:t xml:space="preserve"> </w:t>
      </w:r>
      <w:r w:rsidR="00CA6381" w:rsidRPr="00CA6381">
        <w:rPr>
          <w:rFonts w:ascii="Tahoma" w:eastAsia="Calibri" w:hAnsi="Tahoma" w:cs="Tahoma"/>
          <w:b/>
          <w:lang w:val="es-ES" w:eastAsia="en-US"/>
        </w:rPr>
        <w:t>“ADQUISICIÓN INFLABLES DEPORTIVOS PARA EL CONSEJO MUNICIPAL DEL DEPORTE (COMUDE) DE TLAJOMULCO DE ZÚÑIGA, JALISCO.</w:t>
      </w:r>
      <w:r w:rsidR="00CA6381">
        <w:rPr>
          <w:rFonts w:ascii="Tahoma" w:eastAsia="Calibri" w:hAnsi="Tahoma" w:cs="Tahoma"/>
          <w:b/>
          <w:lang w:val="es-ES" w:eastAsia="en-US"/>
        </w:rPr>
        <w:t>”</w:t>
      </w: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5F31EA5F" w:rsidR="00D854C8" w:rsidRPr="00526FAD" w:rsidRDefault="00D854C8" w:rsidP="00D854C8">
      <w:pPr>
        <w:spacing w:after="0" w:line="240" w:lineRule="auto"/>
        <w:jc w:val="both"/>
        <w:rPr>
          <w:rFonts w:ascii="Arial" w:eastAsia="Times New Roman" w:hAnsi="Arial" w:cs="Arial"/>
          <w:sz w:val="18"/>
          <w:szCs w:val="16"/>
        </w:rPr>
      </w:pPr>
    </w:p>
    <w:tbl>
      <w:tblPr>
        <w:tblStyle w:val="Tablaconcuadrcula1"/>
        <w:tblW w:w="8926" w:type="dxa"/>
        <w:tblLook w:val="04A0" w:firstRow="1" w:lastRow="0" w:firstColumn="1" w:lastColumn="0" w:noHBand="0" w:noVBand="1"/>
      </w:tblPr>
      <w:tblGrid>
        <w:gridCol w:w="4390"/>
        <w:gridCol w:w="4536"/>
      </w:tblGrid>
      <w:tr w:rsidR="00D854C8" w:rsidRPr="00522C2D" w14:paraId="2D936E35" w14:textId="77777777" w:rsidTr="00BD7719">
        <w:trPr>
          <w:trHeight w:val="340"/>
        </w:trPr>
        <w:tc>
          <w:tcPr>
            <w:tcW w:w="4390" w:type="dxa"/>
          </w:tcPr>
          <w:p w14:paraId="03DC6C70" w14:textId="77777777" w:rsidR="00D854C8" w:rsidRPr="00522C2D" w:rsidRDefault="00D854C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536" w:type="dxa"/>
          </w:tcPr>
          <w:p w14:paraId="3A38BC0F"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BD7719">
        <w:tc>
          <w:tcPr>
            <w:tcW w:w="4390" w:type="dxa"/>
          </w:tcPr>
          <w:p w14:paraId="0BF7AA2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536" w:type="dxa"/>
          </w:tcPr>
          <w:p w14:paraId="3747EEF7"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BD7719">
        <w:tc>
          <w:tcPr>
            <w:tcW w:w="4390" w:type="dxa"/>
          </w:tcPr>
          <w:p w14:paraId="766EE305"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536" w:type="dxa"/>
          </w:tcPr>
          <w:p w14:paraId="17082C62" w14:textId="489B66D4" w:rsidR="00D854C8" w:rsidRPr="00522C2D" w:rsidRDefault="00D854C8">
            <w:pPr>
              <w:jc w:val="both"/>
              <w:rPr>
                <w:rFonts w:ascii="Arial" w:eastAsia="Calibri" w:hAnsi="Arial" w:cs="Arial"/>
                <w:lang w:eastAsia="es-ES"/>
              </w:rPr>
            </w:pPr>
            <w:r w:rsidRPr="00522C2D">
              <w:rPr>
                <w:rFonts w:ascii="Arial" w:eastAsia="Calibri" w:hAnsi="Arial" w:cs="Arial"/>
                <w:lang w:eastAsia="es-ES"/>
              </w:rPr>
              <w:t>202</w:t>
            </w:r>
            <w:r w:rsidR="0030362F">
              <w:rPr>
                <w:rFonts w:ascii="Arial" w:eastAsia="Calibri" w:hAnsi="Arial" w:cs="Arial"/>
                <w:lang w:eastAsia="es-ES"/>
              </w:rPr>
              <w:t>6</w:t>
            </w:r>
          </w:p>
        </w:tc>
      </w:tr>
      <w:tr w:rsidR="00D854C8" w:rsidRPr="00522C2D" w14:paraId="6D6116A8" w14:textId="77777777" w:rsidTr="00BD7719">
        <w:tc>
          <w:tcPr>
            <w:tcW w:w="4390" w:type="dxa"/>
          </w:tcPr>
          <w:p w14:paraId="76959431"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536" w:type="dxa"/>
          </w:tcPr>
          <w:p w14:paraId="636323CB" w14:textId="735AE56C" w:rsidR="00D854C8" w:rsidRPr="00522C2D" w:rsidRDefault="001E0A54">
            <w:pPr>
              <w:jc w:val="both"/>
              <w:rPr>
                <w:rFonts w:ascii="Arial" w:eastAsia="Calibri" w:hAnsi="Arial" w:cs="Arial"/>
                <w:lang w:eastAsia="es-ES"/>
              </w:rPr>
            </w:pPr>
            <w:r>
              <w:rPr>
                <w:rFonts w:ascii="Arial" w:eastAsia="Calibri" w:hAnsi="Arial" w:cs="Arial"/>
                <w:lang w:eastAsia="es-ES"/>
              </w:rPr>
              <w:t>Cerrado</w:t>
            </w:r>
          </w:p>
        </w:tc>
      </w:tr>
      <w:tr w:rsidR="00D854C8" w:rsidRPr="00522C2D" w14:paraId="71CC20D5" w14:textId="77777777" w:rsidTr="00BD7719">
        <w:tc>
          <w:tcPr>
            <w:tcW w:w="4390" w:type="dxa"/>
          </w:tcPr>
          <w:p w14:paraId="40AF2B29"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536" w:type="dxa"/>
          </w:tcPr>
          <w:p w14:paraId="1B178EC0" w14:textId="5924DC38" w:rsidR="00D854C8" w:rsidRPr="00522C2D" w:rsidRDefault="009B753E">
            <w:pPr>
              <w:jc w:val="both"/>
              <w:rPr>
                <w:rFonts w:ascii="Arial" w:eastAsia="Calibri" w:hAnsi="Arial" w:cs="Arial"/>
                <w:b/>
                <w:lang w:eastAsia="es-ES"/>
              </w:rPr>
            </w:pPr>
            <w:r w:rsidRPr="009B753E">
              <w:rPr>
                <w:rFonts w:ascii="Arial" w:eastAsia="Calibri" w:hAnsi="Arial" w:cs="Arial"/>
                <w:b/>
                <w:lang w:eastAsia="es-ES"/>
              </w:rPr>
              <w:t xml:space="preserve">Se podrá adjudicar </w:t>
            </w:r>
            <w:r w:rsidR="00DF7F82">
              <w:rPr>
                <w:rFonts w:ascii="Arial" w:eastAsia="Calibri" w:hAnsi="Arial" w:cs="Arial"/>
                <w:b/>
                <w:lang w:eastAsia="es-ES"/>
              </w:rPr>
              <w:t>a un solo proveedor</w:t>
            </w:r>
          </w:p>
        </w:tc>
      </w:tr>
      <w:tr w:rsidR="00D854C8" w:rsidRPr="00522C2D" w14:paraId="46ED5741" w14:textId="77777777" w:rsidTr="00BD7719">
        <w:tc>
          <w:tcPr>
            <w:tcW w:w="4390" w:type="dxa"/>
          </w:tcPr>
          <w:p w14:paraId="3F14775A"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536" w:type="dxa"/>
          </w:tcPr>
          <w:p w14:paraId="0F3387CC" w14:textId="45244003" w:rsidR="00D854C8" w:rsidRPr="00522C2D" w:rsidRDefault="0058426F" w:rsidP="0058426F">
            <w:pPr>
              <w:jc w:val="both"/>
              <w:rPr>
                <w:rFonts w:ascii="Arial" w:eastAsia="Calibri" w:hAnsi="Arial" w:cs="Arial"/>
                <w:lang w:eastAsia="es-ES"/>
              </w:rPr>
            </w:pPr>
            <w:r w:rsidRPr="0058426F">
              <w:rPr>
                <w:rFonts w:ascii="Arial" w:eastAsia="Calibri" w:hAnsi="Arial" w:cs="Arial"/>
                <w:lang w:eastAsia="es-ES"/>
              </w:rPr>
              <w:t>5</w:t>
            </w:r>
            <w:r w:rsidR="009E1ABC">
              <w:rPr>
                <w:rFonts w:ascii="Arial" w:eastAsia="Calibri" w:hAnsi="Arial" w:cs="Arial"/>
                <w:lang w:eastAsia="es-ES"/>
              </w:rPr>
              <w:t>291</w:t>
            </w:r>
          </w:p>
        </w:tc>
      </w:tr>
      <w:tr w:rsidR="00D854C8" w:rsidRPr="00522C2D" w14:paraId="38EEE094" w14:textId="77777777" w:rsidTr="00BD7719">
        <w:tc>
          <w:tcPr>
            <w:tcW w:w="4390" w:type="dxa"/>
          </w:tcPr>
          <w:p w14:paraId="1A3930A8"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536" w:type="dxa"/>
          </w:tcPr>
          <w:p w14:paraId="1F0C60E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BD7719">
        <w:trPr>
          <w:trHeight w:val="329"/>
        </w:trPr>
        <w:tc>
          <w:tcPr>
            <w:tcW w:w="4390" w:type="dxa"/>
          </w:tcPr>
          <w:p w14:paraId="3F2A5300" w14:textId="77777777" w:rsidR="00D854C8" w:rsidRPr="00522C2D" w:rsidRDefault="00D854C8">
            <w:pPr>
              <w:jc w:val="both"/>
              <w:rPr>
                <w:rFonts w:ascii="Arial" w:eastAsia="Calibri" w:hAnsi="Arial" w:cs="Arial"/>
              </w:rPr>
            </w:pPr>
            <w:r w:rsidRPr="00522C2D">
              <w:rPr>
                <w:rFonts w:ascii="Arial" w:eastAsia="Calibri" w:hAnsi="Arial" w:cs="Arial"/>
              </w:rPr>
              <w:t>Fecha de Publicación</w:t>
            </w:r>
          </w:p>
        </w:tc>
        <w:tc>
          <w:tcPr>
            <w:tcW w:w="4536" w:type="dxa"/>
          </w:tcPr>
          <w:p w14:paraId="55BEFA8B" w14:textId="0E871578" w:rsidR="00D854C8" w:rsidRPr="00522C2D" w:rsidRDefault="009E1ABC">
            <w:pPr>
              <w:spacing w:after="200" w:line="276" w:lineRule="auto"/>
              <w:jc w:val="both"/>
              <w:rPr>
                <w:rFonts w:ascii="Arial" w:eastAsia="Calibri" w:hAnsi="Arial" w:cs="Arial"/>
                <w:b/>
              </w:rPr>
            </w:pPr>
            <w:r>
              <w:rPr>
                <w:rFonts w:ascii="Arial" w:eastAsia="Calibri" w:hAnsi="Arial" w:cs="Arial"/>
                <w:color w:val="000000"/>
              </w:rPr>
              <w:t>13</w:t>
            </w:r>
            <w:r w:rsidR="00F35B2C">
              <w:rPr>
                <w:rFonts w:ascii="Arial" w:eastAsia="Calibri" w:hAnsi="Arial" w:cs="Arial"/>
                <w:color w:val="000000"/>
              </w:rPr>
              <w:t xml:space="preserve"> </w:t>
            </w:r>
            <w:r w:rsidR="00C34684">
              <w:rPr>
                <w:rFonts w:ascii="Arial" w:eastAsia="Calibri" w:hAnsi="Arial" w:cs="Arial"/>
                <w:color w:val="000000"/>
              </w:rPr>
              <w:t xml:space="preserve">de </w:t>
            </w:r>
            <w:r w:rsidR="009B753E">
              <w:rPr>
                <w:rFonts w:ascii="Arial" w:eastAsia="Calibri" w:hAnsi="Arial" w:cs="Arial"/>
                <w:color w:val="000000"/>
              </w:rPr>
              <w:t xml:space="preserve">marzo </w:t>
            </w:r>
            <w:r w:rsidR="00C34684">
              <w:rPr>
                <w:rFonts w:ascii="Arial" w:eastAsia="Calibri" w:hAnsi="Arial" w:cs="Arial"/>
                <w:color w:val="000000"/>
              </w:rPr>
              <w:t xml:space="preserve">del </w:t>
            </w:r>
            <w:r w:rsidR="005F3CC3">
              <w:rPr>
                <w:rFonts w:ascii="Arial" w:eastAsia="Calibri" w:hAnsi="Arial" w:cs="Arial"/>
                <w:color w:val="000000"/>
              </w:rPr>
              <w:t xml:space="preserve">año </w:t>
            </w:r>
            <w:r w:rsidR="00D854C8" w:rsidRPr="00522C2D">
              <w:rPr>
                <w:rFonts w:ascii="Arial" w:eastAsia="Calibri" w:hAnsi="Arial" w:cs="Arial"/>
                <w:color w:val="000000"/>
              </w:rPr>
              <w:t>202</w:t>
            </w:r>
            <w:r w:rsidR="0030362F">
              <w:rPr>
                <w:rFonts w:ascii="Arial" w:eastAsia="Calibri" w:hAnsi="Arial" w:cs="Arial"/>
                <w:color w:val="000000"/>
              </w:rPr>
              <w:t>6</w:t>
            </w:r>
          </w:p>
        </w:tc>
      </w:tr>
      <w:tr w:rsidR="007B5BC1" w:rsidRPr="00522C2D" w14:paraId="41FAA573" w14:textId="77777777" w:rsidTr="00BD7719">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536" w:type="dxa"/>
          </w:tcPr>
          <w:p w14:paraId="10BD1C7D" w14:textId="7897B3FF"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w:t>
            </w:r>
            <w:r w:rsidR="00B35889">
              <w:rPr>
                <w:rFonts w:ascii="Arial" w:hAnsi="Arial" w:cs="Arial"/>
              </w:rPr>
              <w:t xml:space="preserve"> </w:t>
            </w:r>
            <w:r w:rsidRPr="00CF592E">
              <w:rPr>
                <w:rFonts w:ascii="Arial" w:hAnsi="Arial" w:cs="Arial"/>
              </w:rPr>
              <w:t>electrónico: comprascomude@tlajomulco.gob.mx</w:t>
            </w:r>
          </w:p>
        </w:tc>
      </w:tr>
      <w:tr w:rsidR="007B5BC1" w:rsidRPr="00522C2D" w14:paraId="7BEEADB8" w14:textId="77777777" w:rsidTr="00BD7719">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536" w:type="dxa"/>
            <w:tcBorders>
              <w:top w:val="single" w:sz="4" w:space="0" w:color="auto"/>
              <w:left w:val="single" w:sz="4" w:space="0" w:color="auto"/>
              <w:bottom w:val="single" w:sz="4" w:space="0" w:color="auto"/>
              <w:right w:val="single" w:sz="4" w:space="0" w:color="auto"/>
            </w:tcBorders>
          </w:tcPr>
          <w:p w14:paraId="3272DF56" w14:textId="59765CB9" w:rsidR="007B5BC1" w:rsidRPr="00522C2D" w:rsidRDefault="009E1ABC" w:rsidP="007B5BC1">
            <w:pPr>
              <w:spacing w:after="200"/>
              <w:jc w:val="both"/>
              <w:rPr>
                <w:rFonts w:ascii="Arial" w:eastAsia="Calibri" w:hAnsi="Arial" w:cs="Arial"/>
                <w:color w:val="000000"/>
              </w:rPr>
            </w:pPr>
            <w:r>
              <w:rPr>
                <w:rFonts w:ascii="Arial" w:eastAsia="Calibri" w:hAnsi="Arial" w:cs="Arial"/>
                <w:color w:val="000000"/>
              </w:rPr>
              <w:t xml:space="preserve">24 </w:t>
            </w:r>
            <w:r w:rsidR="00B35889">
              <w:rPr>
                <w:rFonts w:ascii="Arial" w:eastAsia="Calibri" w:hAnsi="Arial" w:cs="Arial"/>
                <w:color w:val="000000"/>
              </w:rPr>
              <w:t xml:space="preserve">de </w:t>
            </w:r>
            <w:r w:rsidR="005F3CC3">
              <w:rPr>
                <w:rFonts w:ascii="Arial" w:eastAsia="Calibri" w:hAnsi="Arial" w:cs="Arial"/>
                <w:color w:val="000000"/>
              </w:rPr>
              <w:t>marzo</w:t>
            </w:r>
            <w:r w:rsidR="007B5BC1">
              <w:rPr>
                <w:rFonts w:ascii="Arial" w:eastAsia="Calibri" w:hAnsi="Arial" w:cs="Arial"/>
                <w:color w:val="000000"/>
              </w:rPr>
              <w:t xml:space="preserve"> del 202</w:t>
            </w:r>
            <w:r w:rsidR="00B35889">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BD7719">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536" w:type="dxa"/>
            <w:tcBorders>
              <w:top w:val="single" w:sz="4" w:space="0" w:color="auto"/>
              <w:left w:val="single" w:sz="4" w:space="0" w:color="auto"/>
              <w:bottom w:val="single" w:sz="4" w:space="0" w:color="auto"/>
              <w:right w:val="single" w:sz="4" w:space="0" w:color="auto"/>
            </w:tcBorders>
          </w:tcPr>
          <w:p w14:paraId="1760873A" w14:textId="5EC0EA86" w:rsidR="007B5BC1" w:rsidRPr="00522C2D" w:rsidRDefault="009E1ABC" w:rsidP="007B5BC1">
            <w:pPr>
              <w:spacing w:after="200"/>
              <w:jc w:val="both"/>
              <w:rPr>
                <w:rFonts w:ascii="Arial" w:eastAsia="Calibri" w:hAnsi="Arial" w:cs="Arial"/>
                <w:color w:val="000000"/>
              </w:rPr>
            </w:pPr>
            <w:r>
              <w:rPr>
                <w:rFonts w:ascii="Arial" w:eastAsia="Calibri" w:hAnsi="Arial" w:cs="Arial"/>
                <w:color w:val="000000"/>
              </w:rPr>
              <w:t xml:space="preserve">24 </w:t>
            </w:r>
            <w:r w:rsidR="00B35889" w:rsidRPr="00B35889">
              <w:rPr>
                <w:rFonts w:ascii="Arial" w:eastAsia="Calibri" w:hAnsi="Arial" w:cs="Arial"/>
                <w:color w:val="000000"/>
              </w:rPr>
              <w:t xml:space="preserve">de </w:t>
            </w:r>
            <w:r w:rsidR="003705F7">
              <w:rPr>
                <w:rFonts w:ascii="Arial" w:eastAsia="Calibri" w:hAnsi="Arial" w:cs="Arial"/>
                <w:color w:val="000000"/>
              </w:rPr>
              <w:t>marzo</w:t>
            </w:r>
            <w:r w:rsidR="00B35889" w:rsidRPr="00B35889">
              <w:rPr>
                <w:rFonts w:ascii="Arial" w:eastAsia="Calibri" w:hAnsi="Arial" w:cs="Arial"/>
                <w:color w:val="000000"/>
              </w:rPr>
              <w:t xml:space="preserve"> del 2026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04E5ABC6" w14:textId="77777777" w:rsidTr="00BD7719">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536"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BD7719">
        <w:trPr>
          <w:trHeight w:val="720"/>
        </w:trPr>
        <w:tc>
          <w:tcPr>
            <w:tcW w:w="4390" w:type="dxa"/>
          </w:tcPr>
          <w:p w14:paraId="79FB78A2" w14:textId="7B623430" w:rsidR="007B5BC1" w:rsidRPr="00522C2D" w:rsidRDefault="007B5BC1" w:rsidP="00BD7719">
            <w:pPr>
              <w:jc w:val="both"/>
              <w:rPr>
                <w:rFonts w:ascii="Arial" w:eastAsia="Calibri" w:hAnsi="Arial" w:cs="Arial"/>
              </w:rPr>
            </w:pPr>
            <w:r w:rsidRPr="00522C2D">
              <w:rPr>
                <w:rFonts w:ascii="Arial" w:eastAsia="Calibri" w:hAnsi="Arial" w:cs="Arial"/>
              </w:rPr>
              <w:t xml:space="preserve">Domicilio de las Oficinas del Órgano </w:t>
            </w:r>
            <w:r w:rsidR="00BD7719" w:rsidRPr="00522C2D">
              <w:rPr>
                <w:rFonts w:ascii="Arial" w:eastAsia="Calibri" w:hAnsi="Arial" w:cs="Arial"/>
              </w:rPr>
              <w:t xml:space="preserve">Interno </w:t>
            </w:r>
            <w:r w:rsidRPr="00522C2D">
              <w:rPr>
                <w:rFonts w:ascii="Arial" w:eastAsia="Calibri" w:hAnsi="Arial" w:cs="Arial"/>
              </w:rPr>
              <w:t>de Control donde podrán presentarse inconformidades.</w:t>
            </w:r>
          </w:p>
        </w:tc>
        <w:tc>
          <w:tcPr>
            <w:tcW w:w="4536" w:type="dxa"/>
          </w:tcPr>
          <w:p w14:paraId="3F4FD769" w14:textId="54E1A150"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tbl>
      <w:tblPr>
        <w:tblStyle w:val="Tablaconcuadrcula"/>
        <w:tblpPr w:leftFromText="141" w:rightFromText="141" w:vertAnchor="page" w:horzAnchor="margin" w:tblpXSpec="center" w:tblpY="2221"/>
        <w:tblW w:w="8961" w:type="dxa"/>
        <w:tblLook w:val="04A0" w:firstRow="1" w:lastRow="0" w:firstColumn="1" w:lastColumn="0" w:noHBand="0" w:noVBand="1"/>
      </w:tblPr>
      <w:tblGrid>
        <w:gridCol w:w="1105"/>
        <w:gridCol w:w="5411"/>
        <w:gridCol w:w="1276"/>
        <w:gridCol w:w="1169"/>
      </w:tblGrid>
      <w:tr w:rsidR="009E1ABC" w:rsidRPr="009E1ABC" w14:paraId="20FA7E3D" w14:textId="77777777" w:rsidTr="009E1ABC">
        <w:trPr>
          <w:trHeight w:val="29"/>
        </w:trPr>
        <w:tc>
          <w:tcPr>
            <w:tcW w:w="1105" w:type="dxa"/>
          </w:tcPr>
          <w:p w14:paraId="77CDFAC1" w14:textId="77777777"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lastRenderedPageBreak/>
              <w:t>PARTIDA</w:t>
            </w:r>
          </w:p>
        </w:tc>
        <w:tc>
          <w:tcPr>
            <w:tcW w:w="5411" w:type="dxa"/>
          </w:tcPr>
          <w:p w14:paraId="5DB392AC" w14:textId="169E7F24" w:rsidR="009E1ABC" w:rsidRPr="009E1ABC" w:rsidRDefault="009E1ABC" w:rsidP="009E1ABC">
            <w:pPr>
              <w:jc w:val="center"/>
              <w:rPr>
                <w:rFonts w:ascii="Arial" w:eastAsia="Calibri" w:hAnsi="Arial" w:cs="Arial"/>
                <w:b/>
                <w:bCs/>
                <w:sz w:val="20"/>
                <w:szCs w:val="20"/>
              </w:rPr>
            </w:pPr>
            <w:r w:rsidRPr="009E1ABC">
              <w:rPr>
                <w:rFonts w:ascii="Arial" w:eastAsia="Calibri" w:hAnsi="Arial" w:cs="Arial"/>
                <w:b/>
                <w:bCs/>
                <w:sz w:val="20"/>
                <w:szCs w:val="20"/>
              </w:rPr>
              <w:t>DESCRIPCIÓN</w:t>
            </w:r>
          </w:p>
        </w:tc>
        <w:tc>
          <w:tcPr>
            <w:tcW w:w="1276" w:type="dxa"/>
          </w:tcPr>
          <w:p w14:paraId="3419B7B9" w14:textId="24254EDC"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CANTIDAD</w:t>
            </w:r>
          </w:p>
        </w:tc>
        <w:tc>
          <w:tcPr>
            <w:tcW w:w="1169" w:type="dxa"/>
          </w:tcPr>
          <w:p w14:paraId="59AA14F0" w14:textId="77777777"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UM</w:t>
            </w:r>
          </w:p>
        </w:tc>
      </w:tr>
      <w:tr w:rsidR="009E1ABC" w:rsidRPr="009E1ABC" w14:paraId="217C04B0" w14:textId="77777777" w:rsidTr="009E1ABC">
        <w:trPr>
          <w:trHeight w:val="94"/>
        </w:trPr>
        <w:tc>
          <w:tcPr>
            <w:tcW w:w="1105" w:type="dxa"/>
          </w:tcPr>
          <w:p w14:paraId="44C9B490" w14:textId="77777777"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1</w:t>
            </w:r>
          </w:p>
        </w:tc>
        <w:tc>
          <w:tcPr>
            <w:tcW w:w="5411" w:type="dxa"/>
          </w:tcPr>
          <w:p w14:paraId="466CA68A" w14:textId="59804EBC" w:rsidR="009E1ABC" w:rsidRPr="009E1ABC" w:rsidRDefault="009E1ABC" w:rsidP="009E1ABC">
            <w:pPr>
              <w:jc w:val="both"/>
              <w:rPr>
                <w:rFonts w:ascii="Arial" w:eastAsia="Calibri" w:hAnsi="Arial" w:cs="Arial"/>
                <w:b/>
                <w:bCs/>
                <w:sz w:val="20"/>
                <w:szCs w:val="20"/>
              </w:rPr>
            </w:pPr>
            <w:r w:rsidRPr="009E1ABC">
              <w:rPr>
                <w:rFonts w:ascii="Verdana" w:eastAsia="Times New Roman" w:hAnsi="Verdana" w:cs="Tahoma"/>
                <w:b/>
                <w:bCs/>
                <w:color w:val="000000"/>
                <w:sz w:val="20"/>
                <w:szCs w:val="20"/>
                <w:lang w:eastAsia="es-MX"/>
              </w:rPr>
              <w:t>Inflable futbol 7,</w:t>
            </w:r>
            <w:r w:rsidRPr="009E1ABC">
              <w:rPr>
                <w:rFonts w:ascii="Verdana" w:eastAsia="Times New Roman" w:hAnsi="Verdana" w:cs="Tahoma"/>
                <w:color w:val="000000"/>
                <w:sz w:val="20"/>
                <w:szCs w:val="20"/>
                <w:lang w:eastAsia="es-MX"/>
              </w:rPr>
              <w:t xml:space="preserve"> postes con red, con medida de 10x6x2 mts., cancha a ras de piso, material en lona con impresión del logotipo oficial del COMUDE Tlajomulco y colores personalizado, que incluya bolsa de traslado y soplador de aire (motor) </w:t>
            </w:r>
          </w:p>
        </w:tc>
        <w:tc>
          <w:tcPr>
            <w:tcW w:w="1276" w:type="dxa"/>
          </w:tcPr>
          <w:p w14:paraId="0920E051" w14:textId="5FDB98E4"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1</w:t>
            </w:r>
          </w:p>
        </w:tc>
        <w:tc>
          <w:tcPr>
            <w:tcW w:w="1169" w:type="dxa"/>
          </w:tcPr>
          <w:p w14:paraId="4D4A3B66" w14:textId="77777777" w:rsidR="009E1ABC" w:rsidRPr="009E1ABC" w:rsidRDefault="009E1ABC" w:rsidP="009E1ABC">
            <w:pPr>
              <w:spacing w:after="200" w:line="276" w:lineRule="auto"/>
              <w:jc w:val="center"/>
              <w:rPr>
                <w:rFonts w:ascii="Arial" w:eastAsia="Calibri" w:hAnsi="Arial" w:cs="Arial"/>
                <w:sz w:val="20"/>
                <w:szCs w:val="20"/>
              </w:rPr>
            </w:pPr>
            <w:r w:rsidRPr="009E1ABC">
              <w:rPr>
                <w:rFonts w:ascii="Arial" w:eastAsia="Calibri" w:hAnsi="Arial" w:cs="Arial"/>
                <w:sz w:val="20"/>
                <w:szCs w:val="20"/>
              </w:rPr>
              <w:t>PIEZA</w:t>
            </w:r>
          </w:p>
        </w:tc>
      </w:tr>
      <w:tr w:rsidR="009E1ABC" w:rsidRPr="009E1ABC" w14:paraId="22247EBE" w14:textId="77777777" w:rsidTr="009E1ABC">
        <w:trPr>
          <w:trHeight w:val="15"/>
        </w:trPr>
        <w:tc>
          <w:tcPr>
            <w:tcW w:w="1105" w:type="dxa"/>
          </w:tcPr>
          <w:p w14:paraId="2DCC9247" w14:textId="77777777"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2</w:t>
            </w:r>
          </w:p>
        </w:tc>
        <w:tc>
          <w:tcPr>
            <w:tcW w:w="5411" w:type="dxa"/>
          </w:tcPr>
          <w:p w14:paraId="4DADD2F6" w14:textId="2A596727" w:rsidR="009E1ABC" w:rsidRPr="009E1ABC" w:rsidRDefault="009E1ABC" w:rsidP="009E1ABC">
            <w:pPr>
              <w:jc w:val="both"/>
              <w:rPr>
                <w:rFonts w:ascii="Arial" w:eastAsia="Calibri" w:hAnsi="Arial" w:cs="Arial"/>
                <w:b/>
                <w:bCs/>
                <w:sz w:val="20"/>
                <w:szCs w:val="20"/>
              </w:rPr>
            </w:pPr>
            <w:r w:rsidRPr="009E1ABC">
              <w:rPr>
                <w:rFonts w:ascii="Verdana" w:eastAsia="Times New Roman" w:hAnsi="Verdana" w:cs="Tahoma"/>
                <w:b/>
                <w:bCs/>
                <w:color w:val="000000"/>
                <w:sz w:val="20"/>
                <w:szCs w:val="20"/>
                <w:lang w:eastAsia="es-MX"/>
              </w:rPr>
              <w:t>Inflable portería tira gol,</w:t>
            </w:r>
            <w:r w:rsidRPr="009E1ABC">
              <w:rPr>
                <w:rFonts w:ascii="Verdana" w:eastAsia="Times New Roman" w:hAnsi="Verdana" w:cs="Tahoma"/>
                <w:color w:val="000000"/>
                <w:sz w:val="20"/>
                <w:szCs w:val="20"/>
                <w:lang w:eastAsia="es-MX"/>
              </w:rPr>
              <w:t xml:space="preserve"> con medida de 2.5x2x1.5 mts., material en lona con impresión del logotipo oficial del COMUDE Tlajomulco y colores personalizado, que incluya bolsa de traslado y soplador de aire (motor)</w:t>
            </w:r>
          </w:p>
        </w:tc>
        <w:tc>
          <w:tcPr>
            <w:tcW w:w="1276" w:type="dxa"/>
          </w:tcPr>
          <w:p w14:paraId="1C148C6E" w14:textId="403320C5" w:rsidR="009E1ABC" w:rsidRPr="009E1ABC" w:rsidRDefault="009E1ABC" w:rsidP="009E1ABC">
            <w:pPr>
              <w:spacing w:after="200" w:line="276" w:lineRule="auto"/>
              <w:jc w:val="center"/>
              <w:rPr>
                <w:rFonts w:ascii="Arial" w:eastAsia="Calibri" w:hAnsi="Arial" w:cs="Arial"/>
                <w:b/>
                <w:bCs/>
                <w:sz w:val="20"/>
                <w:szCs w:val="20"/>
              </w:rPr>
            </w:pPr>
            <w:r w:rsidRPr="009E1ABC">
              <w:rPr>
                <w:rFonts w:ascii="Arial" w:eastAsia="Calibri" w:hAnsi="Arial" w:cs="Arial"/>
                <w:b/>
                <w:bCs/>
                <w:sz w:val="20"/>
                <w:szCs w:val="20"/>
              </w:rPr>
              <w:t>1</w:t>
            </w:r>
          </w:p>
        </w:tc>
        <w:tc>
          <w:tcPr>
            <w:tcW w:w="1169" w:type="dxa"/>
          </w:tcPr>
          <w:p w14:paraId="5B5C1B3F" w14:textId="77777777" w:rsidR="009E1ABC" w:rsidRPr="009E1ABC" w:rsidRDefault="009E1ABC" w:rsidP="009E1ABC">
            <w:pPr>
              <w:spacing w:after="200" w:line="276" w:lineRule="auto"/>
              <w:jc w:val="center"/>
              <w:rPr>
                <w:rFonts w:ascii="Arial" w:eastAsia="Calibri" w:hAnsi="Arial" w:cs="Arial"/>
                <w:sz w:val="20"/>
                <w:szCs w:val="20"/>
              </w:rPr>
            </w:pPr>
            <w:r w:rsidRPr="009E1ABC">
              <w:rPr>
                <w:rFonts w:ascii="Arial" w:eastAsia="Calibri" w:hAnsi="Arial" w:cs="Arial"/>
                <w:sz w:val="20"/>
                <w:szCs w:val="20"/>
              </w:rPr>
              <w:t>PIEZA</w:t>
            </w:r>
          </w:p>
        </w:tc>
      </w:tr>
    </w:tbl>
    <w:p w14:paraId="6BFCB5EF" w14:textId="77777777" w:rsidR="009E1ABC" w:rsidRDefault="009E1ABC" w:rsidP="00464736">
      <w:pPr>
        <w:spacing w:after="0" w:line="240" w:lineRule="auto"/>
        <w:jc w:val="both"/>
        <w:rPr>
          <w:b/>
        </w:rPr>
      </w:pPr>
    </w:p>
    <w:p w14:paraId="1F81F7D0" w14:textId="77777777" w:rsidR="009E1ABC" w:rsidRDefault="009E1ABC" w:rsidP="00464736">
      <w:pPr>
        <w:spacing w:after="0" w:line="240" w:lineRule="auto"/>
        <w:jc w:val="both"/>
        <w:rPr>
          <w:b/>
        </w:rPr>
      </w:pPr>
    </w:p>
    <w:p w14:paraId="405F83ED" w14:textId="58DC8909" w:rsidR="001E0A54" w:rsidRPr="00464736" w:rsidRDefault="004D00B7" w:rsidP="00464736">
      <w:pPr>
        <w:spacing w:after="0" w:line="240" w:lineRule="auto"/>
        <w:jc w:val="both"/>
        <w:rPr>
          <w:b/>
        </w:rPr>
      </w:pPr>
      <w:r>
        <w:rPr>
          <w:b/>
        </w:rPr>
        <w:t>L</w:t>
      </w:r>
      <w:r w:rsidR="006A4E6B" w:rsidRPr="00E22090">
        <w:rPr>
          <w:b/>
        </w:rPr>
        <w:t xml:space="preserve">as adjudicadas deberán ser entregadas posteriores a la entrega de la orden de </w:t>
      </w:r>
      <w:r w:rsidR="00593760" w:rsidRPr="00E22090">
        <w:rPr>
          <w:b/>
        </w:rPr>
        <w:t>compra</w:t>
      </w:r>
      <w:r w:rsidR="00593760">
        <w:rPr>
          <w:b/>
        </w:rPr>
        <w:t xml:space="preserve"> </w:t>
      </w:r>
      <w:r w:rsidR="00593760" w:rsidRPr="00E22090">
        <w:rPr>
          <w:b/>
        </w:rPr>
        <w:t>en</w:t>
      </w:r>
      <w:r w:rsidR="006A4E6B" w:rsidRPr="00E22090">
        <w:rPr>
          <w:b/>
        </w:rPr>
        <w:t xml:space="preserve"> un plazo no mayor a </w:t>
      </w:r>
      <w:r w:rsidR="003924DB">
        <w:rPr>
          <w:b/>
        </w:rPr>
        <w:t>05</w:t>
      </w:r>
      <w:r w:rsidR="006A4E6B"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472D0CB3" w14:textId="77777777" w:rsidR="009C437F" w:rsidRDefault="009C437F" w:rsidP="009E1ABC">
      <w:pPr>
        <w:spacing w:after="0" w:line="240" w:lineRule="auto"/>
        <w:rPr>
          <w:rFonts w:ascii="Calibri" w:eastAsia="Times New Roman" w:hAnsi="Calibri" w:cs="Times New Roman"/>
          <w:b/>
          <w:sz w:val="28"/>
          <w:szCs w:val="28"/>
        </w:rPr>
      </w:pPr>
    </w:p>
    <w:p w14:paraId="75BE6E48" w14:textId="77777777" w:rsidR="009C437F" w:rsidRDefault="009C437F" w:rsidP="009C437F">
      <w:pPr>
        <w:spacing w:after="0" w:line="240" w:lineRule="auto"/>
        <w:jc w:val="center"/>
        <w:rPr>
          <w:rFonts w:ascii="Calibri" w:eastAsia="Times New Roman" w:hAnsi="Calibri" w:cs="Times New Roman"/>
          <w:b/>
          <w:sz w:val="28"/>
          <w:szCs w:val="28"/>
        </w:rPr>
      </w:pPr>
    </w:p>
    <w:p w14:paraId="148CB128" w14:textId="77777777" w:rsidR="009C437F" w:rsidRDefault="009C437F" w:rsidP="009C437F">
      <w:pPr>
        <w:spacing w:after="0" w:line="240" w:lineRule="auto"/>
        <w:jc w:val="center"/>
        <w:rPr>
          <w:rFonts w:ascii="Calibri" w:eastAsia="Times New Roman" w:hAnsi="Calibri" w:cs="Times New Roman"/>
          <w:b/>
          <w:sz w:val="28"/>
          <w:szCs w:val="28"/>
        </w:rPr>
      </w:pPr>
    </w:p>
    <w:p w14:paraId="49E304D1" w14:textId="77777777" w:rsidR="009C437F" w:rsidRDefault="009C437F" w:rsidP="009C437F">
      <w:pPr>
        <w:spacing w:after="0" w:line="240" w:lineRule="auto"/>
        <w:jc w:val="center"/>
        <w:rPr>
          <w:rFonts w:ascii="Calibri" w:eastAsia="Times New Roman" w:hAnsi="Calibri" w:cs="Times New Roman"/>
          <w:b/>
          <w:sz w:val="28"/>
          <w:szCs w:val="28"/>
        </w:rPr>
      </w:pPr>
    </w:p>
    <w:p w14:paraId="32B56B2E" w14:textId="77777777" w:rsidR="009E1ABC" w:rsidRDefault="009E1ABC" w:rsidP="009C437F">
      <w:pPr>
        <w:spacing w:after="0" w:line="240" w:lineRule="auto"/>
        <w:jc w:val="center"/>
        <w:rPr>
          <w:rFonts w:ascii="Calibri" w:eastAsia="Times New Roman" w:hAnsi="Calibri" w:cs="Times New Roman"/>
          <w:b/>
          <w:sz w:val="28"/>
          <w:szCs w:val="28"/>
        </w:rPr>
      </w:pPr>
    </w:p>
    <w:p w14:paraId="728AD791" w14:textId="77777777" w:rsidR="009E1ABC" w:rsidRDefault="009E1ABC" w:rsidP="009C437F">
      <w:pPr>
        <w:spacing w:after="0" w:line="240" w:lineRule="auto"/>
        <w:jc w:val="center"/>
        <w:rPr>
          <w:rFonts w:ascii="Calibri" w:eastAsia="Times New Roman" w:hAnsi="Calibri" w:cs="Times New Roman"/>
          <w:b/>
          <w:sz w:val="28"/>
          <w:szCs w:val="28"/>
        </w:rPr>
      </w:pPr>
    </w:p>
    <w:p w14:paraId="77036C09" w14:textId="77777777" w:rsidR="009E1ABC" w:rsidRDefault="009E1ABC" w:rsidP="009C437F">
      <w:pPr>
        <w:spacing w:after="0" w:line="240" w:lineRule="auto"/>
        <w:jc w:val="center"/>
        <w:rPr>
          <w:rFonts w:ascii="Calibri" w:eastAsia="Times New Roman" w:hAnsi="Calibri" w:cs="Times New Roman"/>
          <w:b/>
          <w:sz w:val="28"/>
          <w:szCs w:val="28"/>
        </w:rPr>
      </w:pPr>
    </w:p>
    <w:p w14:paraId="19DAD89B" w14:textId="77777777" w:rsidR="009E1ABC" w:rsidRDefault="009E1ABC" w:rsidP="009C437F">
      <w:pPr>
        <w:spacing w:after="0" w:line="240" w:lineRule="auto"/>
        <w:jc w:val="center"/>
        <w:rPr>
          <w:rFonts w:ascii="Calibri" w:eastAsia="Times New Roman" w:hAnsi="Calibri" w:cs="Times New Roman"/>
          <w:b/>
          <w:sz w:val="28"/>
          <w:szCs w:val="28"/>
        </w:rPr>
      </w:pPr>
    </w:p>
    <w:p w14:paraId="534FBA94" w14:textId="77777777" w:rsidR="009E1ABC" w:rsidRDefault="009E1ABC" w:rsidP="009C437F">
      <w:pPr>
        <w:spacing w:after="0" w:line="240" w:lineRule="auto"/>
        <w:jc w:val="center"/>
        <w:rPr>
          <w:rFonts w:ascii="Calibri" w:eastAsia="Times New Roman" w:hAnsi="Calibri" w:cs="Times New Roman"/>
          <w:b/>
          <w:sz w:val="28"/>
          <w:szCs w:val="28"/>
        </w:rPr>
      </w:pPr>
    </w:p>
    <w:p w14:paraId="364B5B8D" w14:textId="77777777" w:rsidR="009E1ABC" w:rsidRDefault="009E1ABC" w:rsidP="009C437F">
      <w:pPr>
        <w:spacing w:after="0" w:line="240" w:lineRule="auto"/>
        <w:jc w:val="center"/>
        <w:rPr>
          <w:rFonts w:ascii="Calibri" w:eastAsia="Times New Roman" w:hAnsi="Calibri" w:cs="Times New Roman"/>
          <w:b/>
          <w:sz w:val="28"/>
          <w:szCs w:val="28"/>
        </w:rPr>
      </w:pPr>
    </w:p>
    <w:p w14:paraId="27007C25" w14:textId="77777777" w:rsidR="009E1ABC" w:rsidRDefault="009E1ABC" w:rsidP="009C437F">
      <w:pPr>
        <w:spacing w:after="0" w:line="240" w:lineRule="auto"/>
        <w:jc w:val="center"/>
        <w:rPr>
          <w:rFonts w:ascii="Calibri" w:eastAsia="Times New Roman" w:hAnsi="Calibri" w:cs="Times New Roman"/>
          <w:b/>
          <w:sz w:val="28"/>
          <w:szCs w:val="28"/>
        </w:rPr>
      </w:pPr>
    </w:p>
    <w:p w14:paraId="2969F793" w14:textId="77777777" w:rsidR="009E1ABC" w:rsidRDefault="009E1ABC" w:rsidP="009C437F">
      <w:pPr>
        <w:spacing w:after="0" w:line="240" w:lineRule="auto"/>
        <w:jc w:val="center"/>
        <w:rPr>
          <w:rFonts w:ascii="Calibri" w:eastAsia="Times New Roman" w:hAnsi="Calibri" w:cs="Times New Roman"/>
          <w:b/>
          <w:sz w:val="28"/>
          <w:szCs w:val="28"/>
        </w:rPr>
      </w:pPr>
    </w:p>
    <w:p w14:paraId="284EFAE5" w14:textId="77777777" w:rsidR="009E1ABC" w:rsidRDefault="009E1ABC" w:rsidP="009C437F">
      <w:pPr>
        <w:spacing w:after="0" w:line="240" w:lineRule="auto"/>
        <w:jc w:val="center"/>
        <w:rPr>
          <w:rFonts w:ascii="Calibri" w:eastAsia="Times New Roman" w:hAnsi="Calibri" w:cs="Times New Roman"/>
          <w:b/>
          <w:sz w:val="28"/>
          <w:szCs w:val="28"/>
        </w:rPr>
      </w:pPr>
    </w:p>
    <w:p w14:paraId="70F6E953" w14:textId="77777777" w:rsidR="009E1ABC" w:rsidRDefault="009E1ABC" w:rsidP="009C437F">
      <w:pPr>
        <w:spacing w:after="0" w:line="240" w:lineRule="auto"/>
        <w:jc w:val="center"/>
        <w:rPr>
          <w:rFonts w:ascii="Calibri" w:eastAsia="Times New Roman" w:hAnsi="Calibri" w:cs="Times New Roman"/>
          <w:b/>
          <w:sz w:val="28"/>
          <w:szCs w:val="28"/>
        </w:rPr>
      </w:pPr>
    </w:p>
    <w:p w14:paraId="0AA6AF28" w14:textId="77777777" w:rsidR="009E1ABC" w:rsidRDefault="009E1ABC" w:rsidP="009C437F">
      <w:pPr>
        <w:spacing w:after="0" w:line="240" w:lineRule="auto"/>
        <w:jc w:val="center"/>
        <w:rPr>
          <w:rFonts w:ascii="Calibri" w:eastAsia="Times New Roman" w:hAnsi="Calibri" w:cs="Times New Roman"/>
          <w:b/>
          <w:sz w:val="28"/>
          <w:szCs w:val="28"/>
        </w:rPr>
      </w:pPr>
    </w:p>
    <w:p w14:paraId="35A0C087" w14:textId="77777777" w:rsidR="009E1ABC" w:rsidRDefault="009E1ABC" w:rsidP="009C437F">
      <w:pPr>
        <w:spacing w:after="0" w:line="240" w:lineRule="auto"/>
        <w:jc w:val="center"/>
        <w:rPr>
          <w:rFonts w:ascii="Calibri" w:eastAsia="Times New Roman" w:hAnsi="Calibri" w:cs="Times New Roman"/>
          <w:b/>
          <w:sz w:val="28"/>
          <w:szCs w:val="28"/>
        </w:rPr>
      </w:pPr>
    </w:p>
    <w:p w14:paraId="66082BF5" w14:textId="77777777" w:rsidR="009E1ABC" w:rsidRDefault="009E1ABC" w:rsidP="009C437F">
      <w:pPr>
        <w:spacing w:after="0" w:line="240" w:lineRule="auto"/>
        <w:jc w:val="center"/>
        <w:rPr>
          <w:rFonts w:ascii="Calibri" w:eastAsia="Times New Roman" w:hAnsi="Calibri" w:cs="Times New Roman"/>
          <w:b/>
          <w:sz w:val="28"/>
          <w:szCs w:val="28"/>
        </w:rPr>
      </w:pPr>
    </w:p>
    <w:p w14:paraId="112A3DF9" w14:textId="77777777" w:rsidR="009E1ABC" w:rsidRDefault="009E1ABC" w:rsidP="009C437F">
      <w:pPr>
        <w:spacing w:after="0" w:line="240" w:lineRule="auto"/>
        <w:jc w:val="center"/>
        <w:rPr>
          <w:rFonts w:ascii="Calibri" w:eastAsia="Times New Roman" w:hAnsi="Calibri" w:cs="Times New Roman"/>
          <w:b/>
          <w:sz w:val="28"/>
          <w:szCs w:val="28"/>
        </w:rPr>
      </w:pPr>
    </w:p>
    <w:p w14:paraId="133A72EF" w14:textId="77777777" w:rsidR="009E1ABC" w:rsidRDefault="009E1ABC" w:rsidP="009C437F">
      <w:pPr>
        <w:spacing w:after="0" w:line="240" w:lineRule="auto"/>
        <w:jc w:val="center"/>
        <w:rPr>
          <w:rFonts w:ascii="Calibri" w:eastAsia="Times New Roman" w:hAnsi="Calibri" w:cs="Times New Roman"/>
          <w:b/>
          <w:sz w:val="28"/>
          <w:szCs w:val="28"/>
        </w:rPr>
      </w:pPr>
    </w:p>
    <w:p w14:paraId="35DA75A2" w14:textId="77777777" w:rsidR="009E1ABC" w:rsidRDefault="009E1ABC" w:rsidP="009C437F">
      <w:pPr>
        <w:spacing w:after="0" w:line="240" w:lineRule="auto"/>
        <w:jc w:val="center"/>
        <w:rPr>
          <w:rFonts w:ascii="Calibri" w:eastAsia="Times New Roman" w:hAnsi="Calibri" w:cs="Times New Roman"/>
          <w:b/>
          <w:sz w:val="28"/>
          <w:szCs w:val="28"/>
        </w:rPr>
      </w:pPr>
    </w:p>
    <w:p w14:paraId="520F25BA" w14:textId="77777777" w:rsidR="009E1ABC" w:rsidRDefault="009E1ABC" w:rsidP="009C437F">
      <w:pPr>
        <w:spacing w:after="0" w:line="240" w:lineRule="auto"/>
        <w:jc w:val="center"/>
        <w:rPr>
          <w:rFonts w:ascii="Calibri" w:eastAsia="Times New Roman" w:hAnsi="Calibri" w:cs="Times New Roman"/>
          <w:b/>
          <w:sz w:val="28"/>
          <w:szCs w:val="28"/>
        </w:rPr>
      </w:pPr>
    </w:p>
    <w:p w14:paraId="38422209" w14:textId="77777777" w:rsidR="009C437F" w:rsidRDefault="009C437F" w:rsidP="0058426F">
      <w:pPr>
        <w:spacing w:after="0" w:line="240" w:lineRule="auto"/>
        <w:rPr>
          <w:rFonts w:ascii="Calibri" w:eastAsia="Times New Roman" w:hAnsi="Calibri" w:cs="Times New Roman"/>
          <w:b/>
          <w:sz w:val="28"/>
          <w:szCs w:val="28"/>
        </w:rPr>
      </w:pPr>
    </w:p>
    <w:p w14:paraId="66F92CF6" w14:textId="5C2095F3" w:rsidR="009C437F" w:rsidRPr="009C437F" w:rsidRDefault="009B3996" w:rsidP="009C437F">
      <w:pPr>
        <w:spacing w:after="0" w:line="240" w:lineRule="auto"/>
        <w:jc w:val="center"/>
        <w:rPr>
          <w:rFonts w:ascii="Calibri" w:eastAsia="Times New Roman" w:hAnsi="Calibri" w:cs="Times New Roman"/>
          <w:b/>
          <w:sz w:val="28"/>
          <w:szCs w:val="28"/>
        </w:rPr>
      </w:pPr>
      <w:r w:rsidRPr="00522C2D">
        <w:rPr>
          <w:rFonts w:ascii="Calibri" w:eastAsia="Times New Roman" w:hAnsi="Calibri" w:cs="Times New Roman"/>
          <w:b/>
          <w:sz w:val="28"/>
          <w:szCs w:val="28"/>
        </w:rPr>
        <w:lastRenderedPageBreak/>
        <w:t>Bases</w:t>
      </w: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057CDD54"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w:t>
      </w:r>
      <w:r w:rsidR="001E0A54" w:rsidRPr="001E0A54">
        <w:t xml:space="preserve"> </w:t>
      </w:r>
      <w:r w:rsidR="001E0A54" w:rsidRPr="001E0A54">
        <w:rPr>
          <w:rFonts w:ascii="Arial" w:eastAsia="Times New Roman" w:hAnsi="Arial" w:cs="Arial"/>
          <w:sz w:val="21"/>
          <w:szCs w:val="21"/>
        </w:rPr>
        <w:t>precio unitario, subtotal</w:t>
      </w:r>
      <w:r w:rsidR="001E0A54">
        <w:rPr>
          <w:rFonts w:ascii="Arial" w:eastAsia="Times New Roman" w:hAnsi="Arial" w:cs="Arial"/>
          <w:sz w:val="21"/>
          <w:szCs w:val="21"/>
        </w:rPr>
        <w:t>,</w:t>
      </w:r>
      <w:r w:rsidRPr="00522C2D">
        <w:rPr>
          <w:rFonts w:ascii="Arial" w:eastAsia="Times New Roman" w:hAnsi="Arial" w:cs="Arial"/>
          <w:sz w:val="21"/>
          <w:szCs w:val="21"/>
        </w:rPr>
        <w:t xml:space="preserve"> moneda nacional, desglosando el I.V.A</w:t>
      </w:r>
      <w:r w:rsidR="001E0A54" w:rsidRPr="001E0A54">
        <w:t xml:space="preserve"> </w:t>
      </w:r>
      <w:r w:rsidR="001E0A54" w:rsidRPr="001E0A54">
        <w:rPr>
          <w:rFonts w:ascii="Arial" w:eastAsia="Times New Roman" w:hAnsi="Arial" w:cs="Arial"/>
          <w:sz w:val="21"/>
          <w:szCs w:val="21"/>
        </w:rPr>
        <w:t xml:space="preserve"> o mencionar si el producto es exento de I.V.A. y el gran total.</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840EE60"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8.- En la descripción de los bienes</w:t>
      </w:r>
      <w:r w:rsidR="001E0A54">
        <w:rPr>
          <w:rFonts w:ascii="Arial" w:eastAsia="Times New Roman" w:hAnsi="Arial" w:cs="Arial"/>
          <w:sz w:val="21"/>
          <w:szCs w:val="21"/>
        </w:rPr>
        <w:t xml:space="preserve"> </w:t>
      </w:r>
      <w:r w:rsidRPr="00522C2D">
        <w:rPr>
          <w:rFonts w:ascii="Arial" w:eastAsia="Times New Roman" w:hAnsi="Arial" w:cs="Arial"/>
          <w:sz w:val="21"/>
          <w:szCs w:val="21"/>
        </w:rPr>
        <w:t>deberán indicar marca y modelo</w:t>
      </w:r>
      <w:r w:rsidR="001E0A54">
        <w:rPr>
          <w:rFonts w:ascii="Arial" w:eastAsia="Times New Roman" w:hAnsi="Arial" w:cs="Arial"/>
          <w:sz w:val="21"/>
          <w:szCs w:val="21"/>
        </w:rPr>
        <w:t>, e</w:t>
      </w:r>
      <w:r w:rsidRPr="00522C2D">
        <w:rPr>
          <w:rFonts w:ascii="Arial" w:eastAsia="Times New Roman" w:hAnsi="Arial" w:cs="Arial"/>
          <w:sz w:val="21"/>
          <w:szCs w:val="21"/>
        </w:rPr>
        <w:t xml:space="preserve">n </w:t>
      </w:r>
      <w:r w:rsidR="001E0A54">
        <w:rPr>
          <w:rFonts w:ascii="Arial" w:eastAsia="Times New Roman" w:hAnsi="Arial" w:cs="Arial"/>
          <w:sz w:val="21"/>
          <w:szCs w:val="21"/>
        </w:rPr>
        <w:t xml:space="preserve">caso de ser </w:t>
      </w:r>
      <w:r w:rsidRPr="00522C2D">
        <w:rPr>
          <w:rFonts w:ascii="Arial" w:eastAsia="Times New Roman" w:hAnsi="Arial" w:cs="Arial"/>
          <w:sz w:val="21"/>
          <w:szCs w:val="21"/>
        </w:rPr>
        <w:t xml:space="preserve">servicio </w:t>
      </w:r>
      <w:r w:rsidRPr="00B80B9E">
        <w:rPr>
          <w:rFonts w:ascii="Arial" w:eastAsia="Times New Roman" w:hAnsi="Arial" w:cs="Arial"/>
          <w:sz w:val="21"/>
          <w:szCs w:val="21"/>
        </w:rPr>
        <w:t>agregar curriculum del participante</w:t>
      </w:r>
      <w:r w:rsidR="001E0A54">
        <w:rPr>
          <w:rFonts w:ascii="Arial" w:eastAsia="Times New Roman" w:hAnsi="Arial" w:cs="Arial"/>
          <w:sz w:val="21"/>
          <w:szCs w:val="21"/>
        </w:rPr>
        <w:t>.</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2EFB70FD"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21F6649B"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99C855"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047E40E4" w:rsidR="009B3996" w:rsidRDefault="009B3996" w:rsidP="009B3996">
      <w:pPr>
        <w:spacing w:after="0" w:line="240" w:lineRule="auto"/>
        <w:jc w:val="both"/>
        <w:rPr>
          <w:rFonts w:ascii="Arial" w:eastAsia="Times New Roman" w:hAnsi="Arial" w:cs="Arial"/>
          <w:sz w:val="21"/>
          <w:szCs w:val="21"/>
        </w:rPr>
      </w:pPr>
    </w:p>
    <w:p w14:paraId="0D7A9E26" w14:textId="0A0ABB58"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9F60F6A" w:rsidR="009B3996" w:rsidRPr="00E22090" w:rsidRDefault="009B3996" w:rsidP="009B3996">
      <w:pPr>
        <w:spacing w:after="0" w:line="240" w:lineRule="auto"/>
        <w:rPr>
          <w:rFonts w:ascii="Arial" w:hAnsi="Arial" w:cs="Arial"/>
          <w:sz w:val="20"/>
          <w:szCs w:val="20"/>
        </w:rPr>
      </w:pPr>
    </w:p>
    <w:p w14:paraId="6E14EA0A" w14:textId="5F0CC212"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2A22182E" w14:textId="273D3AC8" w:rsidR="003E3906" w:rsidRPr="00E22090" w:rsidRDefault="003E3906">
      <w:pPr>
        <w:spacing w:after="0" w:line="240" w:lineRule="auto"/>
        <w:rPr>
          <w:rFonts w:ascii="Arial" w:hAnsi="Arial" w:cs="Arial"/>
          <w:sz w:val="20"/>
          <w:szCs w:val="20"/>
        </w:rPr>
      </w:pPr>
    </w:p>
    <w:p w14:paraId="0A61ED1D" w14:textId="77777777" w:rsidR="00746367" w:rsidRPr="004E5EF1" w:rsidRDefault="00746367">
      <w:pPr>
        <w:spacing w:after="0" w:line="240" w:lineRule="auto"/>
        <w:rPr>
          <w:rFonts w:ascii="Arial" w:hAnsi="Arial" w:cs="Arial"/>
          <w:sz w:val="20"/>
          <w:szCs w:val="20"/>
          <w:vertAlign w:val="subscript"/>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3FB60423"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r w:rsidR="00BF11D8">
        <w:rPr>
          <w:rFonts w:ascii="Arial" w:hAnsi="Arial" w:cs="Arial"/>
          <w:b/>
          <w:bCs/>
          <w:sz w:val="20"/>
          <w:szCs w:val="20"/>
        </w:rPr>
        <w:t xml:space="preserve"> TLAJOMULCO </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B911" w14:textId="77777777" w:rsidR="0068079D" w:rsidRPr="00E22090" w:rsidRDefault="0068079D">
      <w:pPr>
        <w:spacing w:after="0" w:line="240" w:lineRule="auto"/>
      </w:pPr>
      <w:r w:rsidRPr="00E22090">
        <w:separator/>
      </w:r>
    </w:p>
  </w:endnote>
  <w:endnote w:type="continuationSeparator" w:id="0">
    <w:p w14:paraId="49DB2F26" w14:textId="77777777" w:rsidR="0068079D" w:rsidRPr="00E22090" w:rsidRDefault="0068079D">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24D0" w14:textId="77777777" w:rsidR="0068079D" w:rsidRPr="00E22090" w:rsidRDefault="0068079D">
      <w:pPr>
        <w:spacing w:after="0" w:line="240" w:lineRule="auto"/>
      </w:pPr>
      <w:r w:rsidRPr="00E22090">
        <w:separator/>
      </w:r>
    </w:p>
  </w:footnote>
  <w:footnote w:type="continuationSeparator" w:id="0">
    <w:p w14:paraId="65142662" w14:textId="77777777" w:rsidR="0068079D" w:rsidRPr="00E22090" w:rsidRDefault="0068079D">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1A74DA4B" w:rsidR="002910B3" w:rsidRPr="00006514" w:rsidRDefault="001E0A5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72B8DA8B">
          <wp:simplePos x="0" y="0"/>
          <wp:positionH relativeFrom="column">
            <wp:posOffset>-824865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00AC4EB4">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0EB599A9">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BE4"/>
    <w:multiLevelType w:val="hybridMultilevel"/>
    <w:tmpl w:val="59A228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A4145"/>
    <w:multiLevelType w:val="hybridMultilevel"/>
    <w:tmpl w:val="7C86A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E54B43"/>
    <w:multiLevelType w:val="hybridMultilevel"/>
    <w:tmpl w:val="34A40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1706F10"/>
    <w:multiLevelType w:val="hybridMultilevel"/>
    <w:tmpl w:val="B9380A4E"/>
    <w:lvl w:ilvl="0" w:tplc="D8DC13E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6"/>
  </w:num>
  <w:num w:numId="2" w16cid:durableId="1585796283">
    <w:abstractNumId w:val="3"/>
  </w:num>
  <w:num w:numId="3" w16cid:durableId="1930501162">
    <w:abstractNumId w:val="1"/>
  </w:num>
  <w:num w:numId="4" w16cid:durableId="1377586598">
    <w:abstractNumId w:val="7"/>
  </w:num>
  <w:num w:numId="5" w16cid:durableId="1116870772">
    <w:abstractNumId w:val="2"/>
  </w:num>
  <w:num w:numId="6" w16cid:durableId="588777655">
    <w:abstractNumId w:val="5"/>
  </w:num>
  <w:num w:numId="7" w16cid:durableId="1160583236">
    <w:abstractNumId w:val="0"/>
  </w:num>
  <w:num w:numId="8" w16cid:durableId="1545291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450AB"/>
    <w:rsid w:val="00073592"/>
    <w:rsid w:val="00076593"/>
    <w:rsid w:val="0009334C"/>
    <w:rsid w:val="000A00C2"/>
    <w:rsid w:val="000A2186"/>
    <w:rsid w:val="000C1510"/>
    <w:rsid w:val="000C228F"/>
    <w:rsid w:val="000C6019"/>
    <w:rsid w:val="000D054C"/>
    <w:rsid w:val="000E4B12"/>
    <w:rsid w:val="000F30BD"/>
    <w:rsid w:val="000F5E3D"/>
    <w:rsid w:val="001035DF"/>
    <w:rsid w:val="00112885"/>
    <w:rsid w:val="0011414A"/>
    <w:rsid w:val="00114541"/>
    <w:rsid w:val="0011487B"/>
    <w:rsid w:val="00115BD3"/>
    <w:rsid w:val="00116030"/>
    <w:rsid w:val="00116438"/>
    <w:rsid w:val="00120BF8"/>
    <w:rsid w:val="00121A40"/>
    <w:rsid w:val="001253A6"/>
    <w:rsid w:val="00146B6B"/>
    <w:rsid w:val="00147080"/>
    <w:rsid w:val="00150FB4"/>
    <w:rsid w:val="001514EC"/>
    <w:rsid w:val="001515F3"/>
    <w:rsid w:val="001532BC"/>
    <w:rsid w:val="0016525B"/>
    <w:rsid w:val="00167BA0"/>
    <w:rsid w:val="00171B21"/>
    <w:rsid w:val="0017324B"/>
    <w:rsid w:val="00183370"/>
    <w:rsid w:val="00185587"/>
    <w:rsid w:val="001A1E33"/>
    <w:rsid w:val="001A5474"/>
    <w:rsid w:val="001A6CE2"/>
    <w:rsid w:val="001A74E7"/>
    <w:rsid w:val="001B70D5"/>
    <w:rsid w:val="001C0209"/>
    <w:rsid w:val="001D3040"/>
    <w:rsid w:val="001D3206"/>
    <w:rsid w:val="001D4F2B"/>
    <w:rsid w:val="001D5F1A"/>
    <w:rsid w:val="001E004E"/>
    <w:rsid w:val="001E0A54"/>
    <w:rsid w:val="001E183A"/>
    <w:rsid w:val="001E3DF6"/>
    <w:rsid w:val="001E44C7"/>
    <w:rsid w:val="001E748F"/>
    <w:rsid w:val="001F2180"/>
    <w:rsid w:val="001F7E33"/>
    <w:rsid w:val="002054E3"/>
    <w:rsid w:val="00207F17"/>
    <w:rsid w:val="00211972"/>
    <w:rsid w:val="00217489"/>
    <w:rsid w:val="002410CE"/>
    <w:rsid w:val="00242FBB"/>
    <w:rsid w:val="0025416E"/>
    <w:rsid w:val="00262056"/>
    <w:rsid w:val="00275E1F"/>
    <w:rsid w:val="00281108"/>
    <w:rsid w:val="0028522E"/>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0362F"/>
    <w:rsid w:val="0031011D"/>
    <w:rsid w:val="00312256"/>
    <w:rsid w:val="003178D1"/>
    <w:rsid w:val="00327EF1"/>
    <w:rsid w:val="003315B5"/>
    <w:rsid w:val="003354F4"/>
    <w:rsid w:val="003363F6"/>
    <w:rsid w:val="0033683E"/>
    <w:rsid w:val="00340938"/>
    <w:rsid w:val="00356515"/>
    <w:rsid w:val="00362209"/>
    <w:rsid w:val="00362506"/>
    <w:rsid w:val="00366390"/>
    <w:rsid w:val="003705F7"/>
    <w:rsid w:val="00370AC8"/>
    <w:rsid w:val="00371D19"/>
    <w:rsid w:val="0037277F"/>
    <w:rsid w:val="00383D76"/>
    <w:rsid w:val="0038435B"/>
    <w:rsid w:val="003924DB"/>
    <w:rsid w:val="00395C01"/>
    <w:rsid w:val="003B20C5"/>
    <w:rsid w:val="003B234D"/>
    <w:rsid w:val="003B781D"/>
    <w:rsid w:val="003C748A"/>
    <w:rsid w:val="003D19B0"/>
    <w:rsid w:val="003D1CEA"/>
    <w:rsid w:val="003D2495"/>
    <w:rsid w:val="003D27FB"/>
    <w:rsid w:val="003E1704"/>
    <w:rsid w:val="003E3906"/>
    <w:rsid w:val="003E5B20"/>
    <w:rsid w:val="004020F2"/>
    <w:rsid w:val="004065F4"/>
    <w:rsid w:val="004115CE"/>
    <w:rsid w:val="004244B5"/>
    <w:rsid w:val="00436B49"/>
    <w:rsid w:val="00441C9D"/>
    <w:rsid w:val="004454D9"/>
    <w:rsid w:val="0044554A"/>
    <w:rsid w:val="004469FD"/>
    <w:rsid w:val="0045099E"/>
    <w:rsid w:val="004523BA"/>
    <w:rsid w:val="00452466"/>
    <w:rsid w:val="0045334F"/>
    <w:rsid w:val="00457FE9"/>
    <w:rsid w:val="00464736"/>
    <w:rsid w:val="00466624"/>
    <w:rsid w:val="00472C44"/>
    <w:rsid w:val="00474C16"/>
    <w:rsid w:val="00474E4D"/>
    <w:rsid w:val="00476DC9"/>
    <w:rsid w:val="00482689"/>
    <w:rsid w:val="00484BE6"/>
    <w:rsid w:val="004857FF"/>
    <w:rsid w:val="00486AAB"/>
    <w:rsid w:val="00490EB8"/>
    <w:rsid w:val="0049334E"/>
    <w:rsid w:val="00496DEC"/>
    <w:rsid w:val="004977AD"/>
    <w:rsid w:val="004A545E"/>
    <w:rsid w:val="004B3D80"/>
    <w:rsid w:val="004C05F0"/>
    <w:rsid w:val="004D00B7"/>
    <w:rsid w:val="004D1137"/>
    <w:rsid w:val="004D270E"/>
    <w:rsid w:val="004D33E5"/>
    <w:rsid w:val="004E0F2B"/>
    <w:rsid w:val="004E5EF1"/>
    <w:rsid w:val="004F1110"/>
    <w:rsid w:val="004F6BA5"/>
    <w:rsid w:val="00503AD5"/>
    <w:rsid w:val="00507815"/>
    <w:rsid w:val="00511EE9"/>
    <w:rsid w:val="00523D74"/>
    <w:rsid w:val="00526FAD"/>
    <w:rsid w:val="00531F8C"/>
    <w:rsid w:val="00546C79"/>
    <w:rsid w:val="005515E5"/>
    <w:rsid w:val="00551E81"/>
    <w:rsid w:val="00556547"/>
    <w:rsid w:val="00556F13"/>
    <w:rsid w:val="005625F1"/>
    <w:rsid w:val="00564C2C"/>
    <w:rsid w:val="00570B47"/>
    <w:rsid w:val="00572AEA"/>
    <w:rsid w:val="00574391"/>
    <w:rsid w:val="00576FCB"/>
    <w:rsid w:val="0058426F"/>
    <w:rsid w:val="00593760"/>
    <w:rsid w:val="005A0790"/>
    <w:rsid w:val="005A14B6"/>
    <w:rsid w:val="005A3346"/>
    <w:rsid w:val="005B69AB"/>
    <w:rsid w:val="005B76E4"/>
    <w:rsid w:val="005B7982"/>
    <w:rsid w:val="005C349A"/>
    <w:rsid w:val="005C5E42"/>
    <w:rsid w:val="005E2AFA"/>
    <w:rsid w:val="005E6E96"/>
    <w:rsid w:val="005F356D"/>
    <w:rsid w:val="005F3B00"/>
    <w:rsid w:val="005F3CC3"/>
    <w:rsid w:val="00604702"/>
    <w:rsid w:val="006350A8"/>
    <w:rsid w:val="00652559"/>
    <w:rsid w:val="006622A0"/>
    <w:rsid w:val="00671DE6"/>
    <w:rsid w:val="00672E11"/>
    <w:rsid w:val="00673F32"/>
    <w:rsid w:val="006757C4"/>
    <w:rsid w:val="00677616"/>
    <w:rsid w:val="0068079D"/>
    <w:rsid w:val="00686B16"/>
    <w:rsid w:val="00687EC6"/>
    <w:rsid w:val="00690DE2"/>
    <w:rsid w:val="006A4E6B"/>
    <w:rsid w:val="006A50AB"/>
    <w:rsid w:val="006B52B9"/>
    <w:rsid w:val="006B662F"/>
    <w:rsid w:val="006C0827"/>
    <w:rsid w:val="006C776F"/>
    <w:rsid w:val="006D1DC6"/>
    <w:rsid w:val="006D53BD"/>
    <w:rsid w:val="006E28BE"/>
    <w:rsid w:val="006E3FBE"/>
    <w:rsid w:val="006E7C4B"/>
    <w:rsid w:val="006F1309"/>
    <w:rsid w:val="006F3196"/>
    <w:rsid w:val="006F31CB"/>
    <w:rsid w:val="006F4EFC"/>
    <w:rsid w:val="00714407"/>
    <w:rsid w:val="007150CB"/>
    <w:rsid w:val="007219B8"/>
    <w:rsid w:val="00723D01"/>
    <w:rsid w:val="0072712A"/>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9718D"/>
    <w:rsid w:val="007A6A47"/>
    <w:rsid w:val="007B5BC1"/>
    <w:rsid w:val="007C0BA9"/>
    <w:rsid w:val="007D3D41"/>
    <w:rsid w:val="007D497E"/>
    <w:rsid w:val="007D598B"/>
    <w:rsid w:val="007E0C72"/>
    <w:rsid w:val="007E14A2"/>
    <w:rsid w:val="007F4985"/>
    <w:rsid w:val="00802760"/>
    <w:rsid w:val="00827AFD"/>
    <w:rsid w:val="00827FF9"/>
    <w:rsid w:val="008516A5"/>
    <w:rsid w:val="0085252A"/>
    <w:rsid w:val="008573AE"/>
    <w:rsid w:val="008603F7"/>
    <w:rsid w:val="0086163E"/>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A1C29"/>
    <w:rsid w:val="009B2E86"/>
    <w:rsid w:val="009B3996"/>
    <w:rsid w:val="009B53FB"/>
    <w:rsid w:val="009B5BAF"/>
    <w:rsid w:val="009B753E"/>
    <w:rsid w:val="009B7E00"/>
    <w:rsid w:val="009C437F"/>
    <w:rsid w:val="009C598E"/>
    <w:rsid w:val="009D49CD"/>
    <w:rsid w:val="009E13FD"/>
    <w:rsid w:val="009E1ABC"/>
    <w:rsid w:val="009F04E7"/>
    <w:rsid w:val="009F731F"/>
    <w:rsid w:val="00A061CE"/>
    <w:rsid w:val="00A22094"/>
    <w:rsid w:val="00A24015"/>
    <w:rsid w:val="00A2541C"/>
    <w:rsid w:val="00A4633A"/>
    <w:rsid w:val="00A51328"/>
    <w:rsid w:val="00A520E6"/>
    <w:rsid w:val="00A53F9D"/>
    <w:rsid w:val="00A6072D"/>
    <w:rsid w:val="00A63049"/>
    <w:rsid w:val="00A761F7"/>
    <w:rsid w:val="00A855E0"/>
    <w:rsid w:val="00AA122A"/>
    <w:rsid w:val="00AB15C3"/>
    <w:rsid w:val="00AC4EB4"/>
    <w:rsid w:val="00AD0448"/>
    <w:rsid w:val="00AD6FAD"/>
    <w:rsid w:val="00AD7C28"/>
    <w:rsid w:val="00AE1F32"/>
    <w:rsid w:val="00AE4F9A"/>
    <w:rsid w:val="00B02F02"/>
    <w:rsid w:val="00B032BE"/>
    <w:rsid w:val="00B04635"/>
    <w:rsid w:val="00B3268E"/>
    <w:rsid w:val="00B341CF"/>
    <w:rsid w:val="00B34BC0"/>
    <w:rsid w:val="00B35889"/>
    <w:rsid w:val="00B664B1"/>
    <w:rsid w:val="00B679D7"/>
    <w:rsid w:val="00B722FF"/>
    <w:rsid w:val="00B744E2"/>
    <w:rsid w:val="00B81454"/>
    <w:rsid w:val="00B91E82"/>
    <w:rsid w:val="00BA6270"/>
    <w:rsid w:val="00BA63E2"/>
    <w:rsid w:val="00BB023D"/>
    <w:rsid w:val="00BC6196"/>
    <w:rsid w:val="00BD4789"/>
    <w:rsid w:val="00BD4C05"/>
    <w:rsid w:val="00BD7719"/>
    <w:rsid w:val="00BF11D8"/>
    <w:rsid w:val="00C05F86"/>
    <w:rsid w:val="00C10FFF"/>
    <w:rsid w:val="00C20E59"/>
    <w:rsid w:val="00C24C25"/>
    <w:rsid w:val="00C34684"/>
    <w:rsid w:val="00C36EA8"/>
    <w:rsid w:val="00C46B21"/>
    <w:rsid w:val="00C61E60"/>
    <w:rsid w:val="00C818FC"/>
    <w:rsid w:val="00C873AD"/>
    <w:rsid w:val="00CA6007"/>
    <w:rsid w:val="00CA6381"/>
    <w:rsid w:val="00CB5212"/>
    <w:rsid w:val="00CC072C"/>
    <w:rsid w:val="00CC20B4"/>
    <w:rsid w:val="00CC47BF"/>
    <w:rsid w:val="00CE6EEA"/>
    <w:rsid w:val="00CF59C3"/>
    <w:rsid w:val="00CF7227"/>
    <w:rsid w:val="00D062F8"/>
    <w:rsid w:val="00D06532"/>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7910"/>
    <w:rsid w:val="00DE1F01"/>
    <w:rsid w:val="00DE7B82"/>
    <w:rsid w:val="00DF7F82"/>
    <w:rsid w:val="00E01459"/>
    <w:rsid w:val="00E052C8"/>
    <w:rsid w:val="00E05CDE"/>
    <w:rsid w:val="00E05DC1"/>
    <w:rsid w:val="00E0733B"/>
    <w:rsid w:val="00E22090"/>
    <w:rsid w:val="00E24CA5"/>
    <w:rsid w:val="00E31E82"/>
    <w:rsid w:val="00E34DFC"/>
    <w:rsid w:val="00E42262"/>
    <w:rsid w:val="00E44F8C"/>
    <w:rsid w:val="00E45560"/>
    <w:rsid w:val="00E47236"/>
    <w:rsid w:val="00E6236E"/>
    <w:rsid w:val="00EA3B96"/>
    <w:rsid w:val="00EA73D7"/>
    <w:rsid w:val="00EB17DE"/>
    <w:rsid w:val="00EB46CB"/>
    <w:rsid w:val="00EB4D6C"/>
    <w:rsid w:val="00EC0C0A"/>
    <w:rsid w:val="00EC5C8B"/>
    <w:rsid w:val="00ED2D33"/>
    <w:rsid w:val="00EF564B"/>
    <w:rsid w:val="00EF5939"/>
    <w:rsid w:val="00EF5D3D"/>
    <w:rsid w:val="00F16B15"/>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4D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78812FAE-A4C5-4FB1-9553-B5C43AED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3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5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584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1343</Words>
  <Characters>7387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Comude Tlajomulco</cp:lastModifiedBy>
  <cp:revision>6</cp:revision>
  <cp:lastPrinted>2026-03-13T21:23:00Z</cp:lastPrinted>
  <dcterms:created xsi:type="dcterms:W3CDTF">2026-03-10T18:17:00Z</dcterms:created>
  <dcterms:modified xsi:type="dcterms:W3CDTF">2026-03-13T21:24:00Z</dcterms:modified>
</cp:coreProperties>
</file>